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E73B" w14:textId="77777777" w:rsidR="00AF5BA2" w:rsidRPr="00531034" w:rsidRDefault="00D92B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Upozornění</w:t>
      </w:r>
      <w:r w:rsidR="00531034" w:rsidRPr="00531034">
        <w:rPr>
          <w:rFonts w:ascii="Times New Roman" w:hAnsi="Times New Roman" w:cs="Times New Roman"/>
          <w:sz w:val="36"/>
          <w:szCs w:val="36"/>
        </w:rPr>
        <w:t xml:space="preserve"> pro právnické osoby a podnikající fyzické osoby</w:t>
      </w:r>
    </w:p>
    <w:p w14:paraId="2927BBF8" w14:textId="77777777" w:rsidR="00531034" w:rsidRDefault="00531034">
      <w:pPr>
        <w:rPr>
          <w:rFonts w:ascii="Times New Roman" w:hAnsi="Times New Roman" w:cs="Times New Roman"/>
          <w:color w:val="00893B"/>
          <w:sz w:val="40"/>
          <w:szCs w:val="40"/>
          <w:shd w:val="clear" w:color="auto" w:fill="FFFFFF"/>
        </w:rPr>
      </w:pPr>
      <w:r w:rsidRPr="00531034">
        <w:rPr>
          <w:rFonts w:ascii="Times New Roman" w:hAnsi="Times New Roman" w:cs="Times New Roman"/>
          <w:color w:val="00893B"/>
          <w:sz w:val="40"/>
          <w:szCs w:val="40"/>
          <w:shd w:val="clear" w:color="auto" w:fill="FFFFFF"/>
        </w:rPr>
        <w:t>Hlášení souhrnných údajů z průběžné evidence odpadů</w:t>
      </w:r>
    </w:p>
    <w:p w14:paraId="7462E48B" w14:textId="77777777" w:rsidR="001C3F81" w:rsidRPr="00467D75" w:rsidRDefault="001C3F81" w:rsidP="00467D75">
      <w:pPr>
        <w:jc w:val="both"/>
        <w:rPr>
          <w:rFonts w:ascii="Times New Roman" w:hAnsi="Times New Roman" w:cs="Times New Roman"/>
        </w:rPr>
      </w:pPr>
      <w:r w:rsidRPr="00467D75">
        <w:rPr>
          <w:rFonts w:ascii="Times New Roman" w:hAnsi="Times New Roman" w:cs="Times New Roman"/>
        </w:rPr>
        <w:t>(nahrazuje Hlášení o produkci a nakládání s odpady dle</w:t>
      </w:r>
      <w:r w:rsidR="00467D75" w:rsidRPr="00467D75">
        <w:rPr>
          <w:rFonts w:ascii="Times New Roman" w:hAnsi="Times New Roman" w:cs="Times New Roman"/>
        </w:rPr>
        <w:t xml:space="preserve"> § 39</w:t>
      </w:r>
      <w:r w:rsidRPr="00467D75">
        <w:rPr>
          <w:rFonts w:ascii="Times New Roman" w:hAnsi="Times New Roman" w:cs="Times New Roman"/>
        </w:rPr>
        <w:t xml:space="preserve"> zákona č. 185/2001 Sb. o odpadech)</w:t>
      </w:r>
    </w:p>
    <w:p w14:paraId="10E6A554" w14:textId="77777777" w:rsidR="00727B78" w:rsidRPr="00531034" w:rsidRDefault="00727B78" w:rsidP="00727B78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3103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Základní informace</w:t>
      </w:r>
    </w:p>
    <w:p w14:paraId="7B6152AA" w14:textId="77777777" w:rsidR="00727B78" w:rsidRPr="00531034" w:rsidRDefault="00727B78" w:rsidP="0072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1034">
        <w:rPr>
          <w:rFonts w:ascii="Times New Roman" w:eastAsia="Times New Roman" w:hAnsi="Times New Roman" w:cs="Times New Roman"/>
          <w:sz w:val="24"/>
          <w:szCs w:val="24"/>
          <w:lang w:eastAsia="cs-CZ"/>
        </w:rPr>
        <w:t>Původce odpadu, který vyprodukoval nebo nakládal v uplynulém kalendářním roce s více než 600 kg nebezpečných odpadů, s více než 100 tunami ostatních odpadů nebo s odpadem perzistentních organických znečišťujících látek vymezeným vyhláškou ministerstva, je povinen zaslat do </w:t>
      </w:r>
      <w:r w:rsidRPr="005310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28. února následujícího roku</w:t>
      </w:r>
      <w:r w:rsidRPr="00531034">
        <w:rPr>
          <w:rFonts w:ascii="Times New Roman" w:eastAsia="Times New Roman" w:hAnsi="Times New Roman" w:cs="Times New Roman"/>
          <w:sz w:val="24"/>
          <w:szCs w:val="24"/>
          <w:lang w:eastAsia="cs-CZ"/>
        </w:rPr>
        <w:t> hlášení souhrnných údajů z průběžné evidence za uplynulý kalendářní rok.</w:t>
      </w:r>
    </w:p>
    <w:p w14:paraId="5FAD4B14" w14:textId="77777777" w:rsidR="00727B78" w:rsidRPr="00531034" w:rsidRDefault="00727B78" w:rsidP="0072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1034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Upozorňujeme na povinnost používat v hlášení i v průběžné evidenci odpadů identifikační číslo provozovny (IČP) viz </w:t>
      </w:r>
      <w:hyperlink r:id="rId7" w:history="1">
        <w:r w:rsidRPr="005310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Sdělení MŽP.</w:t>
        </w:r>
      </w:hyperlink>
    </w:p>
    <w:p w14:paraId="162619E8" w14:textId="77777777" w:rsidR="00D92B5B" w:rsidRPr="00531034" w:rsidRDefault="00D92B5B" w:rsidP="00727B78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3103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Právní předpisy</w:t>
      </w:r>
    </w:p>
    <w:p w14:paraId="4EBC9260" w14:textId="77777777" w:rsidR="00D92B5B" w:rsidRPr="00531034" w:rsidRDefault="00D92B5B" w:rsidP="0072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1034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podání hlášení je zakotvena v § 95 odst. 3 zákona č. 541/2020 Sb., o odpadech (dále jen zákon o odpadech) a zákon č. 25/2008 Sb., o integrovaném registru znečišťování životního prostředí (IRZ) a integrovaném systému plnění ohlašovacích povinností (ISPOP).</w:t>
      </w:r>
    </w:p>
    <w:p w14:paraId="33485673" w14:textId="77777777" w:rsidR="00D92B5B" w:rsidRPr="00531034" w:rsidRDefault="00D92B5B" w:rsidP="00727B78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3103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Lhůty</w:t>
      </w:r>
    </w:p>
    <w:p w14:paraId="792950FE" w14:textId="77777777" w:rsidR="00D92B5B" w:rsidRPr="00531034" w:rsidRDefault="00D92B5B" w:rsidP="00727B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Termín pro podání hlášení je</w:t>
      </w:r>
      <w:r w:rsidRPr="0053103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stanoven</w:t>
      </w:r>
      <w:r w:rsidRPr="00531034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do 28. února následujícího roku.</w:t>
      </w:r>
    </w:p>
    <w:p w14:paraId="41150A99" w14:textId="77777777" w:rsidR="00D92B5B" w:rsidRPr="00531034" w:rsidRDefault="00D92B5B" w:rsidP="00727B78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3103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Sankce za nedodržení povinnosti</w:t>
      </w:r>
    </w:p>
    <w:p w14:paraId="5F445FD4" w14:textId="77777777" w:rsidR="00D92B5B" w:rsidRPr="00531034" w:rsidRDefault="00D92B5B" w:rsidP="00727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</w:t>
      </w:r>
      <w:proofErr w:type="spellStart"/>
      <w:r w:rsidRPr="00531034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531034">
        <w:rPr>
          <w:rFonts w:ascii="Times New Roman" w:eastAsia="Times New Roman" w:hAnsi="Times New Roman" w:cs="Times New Roman"/>
          <w:sz w:val="24"/>
          <w:szCs w:val="24"/>
          <w:lang w:eastAsia="cs-CZ"/>
        </w:rPr>
        <w:t>. § 121 odst. 2 písm. e) zákona o odpadech, uloží příslušný obecní úřad obce s rozšířenou působností nebo Česká inspekce životního prostředí pokutu do výše 1 000 000 Kč právnické nebo podnikající fyzické osobě, která nesplní ve stanoveném rozsahu ohlašovací povinnost.</w:t>
      </w:r>
    </w:p>
    <w:p w14:paraId="5D1D3675" w14:textId="77777777" w:rsidR="00531034" w:rsidRPr="00531034" w:rsidRDefault="00531034" w:rsidP="00727B78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3103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Postup pro podání hlášení      </w:t>
      </w:r>
    </w:p>
    <w:p w14:paraId="44BF1CAA" w14:textId="77777777" w:rsidR="00531034" w:rsidRPr="00531034" w:rsidRDefault="00531034" w:rsidP="00727B78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nutná registrace do ISPOP (jen pro IČO, provozovny není nutné zvlášť registrovat). Na základě registrace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obdržíte od správce ISPOP, společnosti CENIA,</w:t>
      </w:r>
      <w:r w:rsidRPr="0053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přístupové údaje, které dále využijete při odeslání hlášení do ISPOP a pro jeho sledování v tomto systému (viz </w:t>
      </w:r>
      <w:hyperlink r:id="rId8" w:history="1">
        <w:r w:rsidRPr="005310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www.ispop.cz</w:t>
        </w:r>
      </w:hyperlink>
      <w:r w:rsidRPr="00531034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14:paraId="72BB90C1" w14:textId="77777777" w:rsidR="00531034" w:rsidRDefault="00531034" w:rsidP="00727B78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Hlášení bude zasláno za pomoci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elektronického</w:t>
      </w:r>
      <w:r w:rsidRPr="00531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formuláře (</w:t>
      </w:r>
      <w:hyperlink r:id="rId9" w:history="1">
        <w:r w:rsidRPr="0053103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cs-CZ"/>
          </w:rPr>
          <w:t>www.ispop.cz</w:t>
        </w:r>
      </w:hyperlink>
      <w:r w:rsidRPr="00531034">
        <w:rPr>
          <w:rFonts w:ascii="Times New Roman" w:eastAsia="Times New Roman" w:hAnsi="Times New Roman" w:cs="Times New Roman"/>
          <w:sz w:val="24"/>
          <w:szCs w:val="24"/>
          <w:lang w:eastAsia="cs-CZ"/>
        </w:rPr>
        <w:t>) do ISPOP.</w:t>
      </w:r>
    </w:p>
    <w:p w14:paraId="20AD24A4" w14:textId="77777777" w:rsidR="00531034" w:rsidRPr="00531034" w:rsidRDefault="00531034" w:rsidP="00727B78">
      <w:pPr>
        <w:shd w:val="clear" w:color="auto" w:fill="FFFFFF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Upozorňujeme, že již není možné stahování </w:t>
      </w:r>
      <w:r w:rsidR="001C3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PDF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formuláře</w:t>
      </w:r>
      <w:r w:rsidR="001C3F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rozpracovaná hlášení jsou nově ukládána v podobě konceptu v systému ISPOP. Uživatel má koncept hlášení uložený do vyčerpání kapacity úložiště konceptů (pro jednotlivé subjekty je stanovena kapacita 30 konceptů, každý další uložený poté nahrazuje po dalších 7 dnech nejstarší uložený).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D636A0A" w14:textId="77777777" w:rsidR="00531034" w:rsidRDefault="00531034"/>
    <w:p w14:paraId="59E7DFE4" w14:textId="77777777" w:rsidR="00727B78" w:rsidRDefault="00727B78"/>
    <w:p w14:paraId="2F851B00" w14:textId="77777777" w:rsidR="001C3F81" w:rsidRPr="00D92B5B" w:rsidRDefault="001C3F81" w:rsidP="001C3F8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2B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Zároveň upozorňujeme, že </w:t>
      </w:r>
      <w:r w:rsidR="00D92B5B" w:rsidRPr="00D92B5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1.2.2022 </w:t>
      </w:r>
      <w:r w:rsidR="00D92B5B" w:rsidRPr="00D92B5B">
        <w:rPr>
          <w:rStyle w:val="Sil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byly</w:t>
      </w:r>
      <w:r w:rsidR="00D92B5B" w:rsidRPr="00D92B5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D92B5B" w:rsidRPr="00D92B5B">
        <w:rPr>
          <w:rStyle w:val="Sil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zveřejněny formuláře</w:t>
      </w:r>
      <w:r w:rsidR="00D92B5B" w:rsidRPr="00D92B5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 pro roční hlášení v agendě odpady (</w:t>
      </w:r>
      <w:r w:rsidR="00D92B5B" w:rsidRPr="00D92B5B">
        <w:rPr>
          <w:rStyle w:val="Sil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F_ODP_PROD, F_ODP_PROD_AV a F_ODP_PROD_EL</w:t>
      </w:r>
      <w:r w:rsidR="00D92B5B" w:rsidRPr="00D92B5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).</w:t>
      </w:r>
    </w:p>
    <w:p w14:paraId="20699B6E" w14:textId="77777777" w:rsidR="001C3F81" w:rsidRDefault="001C3F81"/>
    <w:p w14:paraId="0E7C88EE" w14:textId="77777777" w:rsidR="00D92B5B" w:rsidRPr="00604158" w:rsidRDefault="00D92B5B" w:rsidP="00D9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158">
        <w:rPr>
          <w:rFonts w:ascii="Times New Roman" w:hAnsi="Times New Roman" w:cs="Times New Roman"/>
          <w:b/>
          <w:sz w:val="24"/>
          <w:szCs w:val="24"/>
        </w:rPr>
        <w:t>Michaela Wasserbauerová</w:t>
      </w:r>
    </w:p>
    <w:p w14:paraId="5A9DCE41" w14:textId="77777777" w:rsidR="00D92B5B" w:rsidRPr="00604158" w:rsidRDefault="00D92B5B" w:rsidP="00D92B5B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04158">
        <w:rPr>
          <w:rFonts w:ascii="Times New Roman" w:hAnsi="Times New Roman" w:cs="Times New Roman"/>
          <w:sz w:val="24"/>
          <w:szCs w:val="24"/>
        </w:rPr>
        <w:t>referent odpadového hospodářství</w:t>
      </w:r>
    </w:p>
    <w:p w14:paraId="72FE6B80" w14:textId="77777777" w:rsidR="00D92B5B" w:rsidRPr="00604158" w:rsidRDefault="00D92B5B">
      <w:pPr>
        <w:rPr>
          <w:rFonts w:ascii="Times New Roman" w:hAnsi="Times New Roman" w:cs="Times New Roman"/>
          <w:sz w:val="24"/>
          <w:szCs w:val="24"/>
        </w:rPr>
      </w:pPr>
      <w:r w:rsidRPr="00604158">
        <w:rPr>
          <w:rFonts w:ascii="Times New Roman" w:hAnsi="Times New Roman" w:cs="Times New Roman"/>
          <w:sz w:val="24"/>
          <w:szCs w:val="24"/>
        </w:rPr>
        <w:t>tel: 315 650 336</w:t>
      </w:r>
    </w:p>
    <w:sectPr w:rsidR="00D92B5B" w:rsidRPr="00604158" w:rsidSect="00D92B5B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4EC7" w14:textId="77777777" w:rsidR="00D02372" w:rsidRDefault="00D02372" w:rsidP="00D92B5B">
      <w:pPr>
        <w:spacing w:after="0" w:line="240" w:lineRule="auto"/>
      </w:pPr>
      <w:r>
        <w:separator/>
      </w:r>
    </w:p>
  </w:endnote>
  <w:endnote w:type="continuationSeparator" w:id="0">
    <w:p w14:paraId="2E481B1E" w14:textId="77777777" w:rsidR="00D02372" w:rsidRDefault="00D02372" w:rsidP="00D9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481D" w14:textId="77777777" w:rsidR="00D02372" w:rsidRDefault="00D02372" w:rsidP="00D92B5B">
      <w:pPr>
        <w:spacing w:after="0" w:line="240" w:lineRule="auto"/>
      </w:pPr>
      <w:r>
        <w:separator/>
      </w:r>
    </w:p>
  </w:footnote>
  <w:footnote w:type="continuationSeparator" w:id="0">
    <w:p w14:paraId="4835DA05" w14:textId="77777777" w:rsidR="00D02372" w:rsidRDefault="00D02372" w:rsidP="00D9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592D"/>
    <w:multiLevelType w:val="multilevel"/>
    <w:tmpl w:val="9AFC241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entative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entative="1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entative="1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entative="1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entative="1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entative="1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34"/>
    <w:rsid w:val="001C3F81"/>
    <w:rsid w:val="00467D75"/>
    <w:rsid w:val="00531034"/>
    <w:rsid w:val="00604158"/>
    <w:rsid w:val="00727B78"/>
    <w:rsid w:val="00831A9A"/>
    <w:rsid w:val="00AF5BA2"/>
    <w:rsid w:val="00D02372"/>
    <w:rsid w:val="00D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4929"/>
  <w15:chartTrackingRefBased/>
  <w15:docId w15:val="{D41C9B72-76EA-4F0C-B3B3-60477AE0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31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310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3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vyrazneni">
    <w:name w:val="zvyrazneni"/>
    <w:basedOn w:val="Standardnpsmoodstavce"/>
    <w:rsid w:val="00531034"/>
  </w:style>
  <w:style w:type="character" w:styleId="Hypertextovodkaz">
    <w:name w:val="Hyperlink"/>
    <w:basedOn w:val="Standardnpsmoodstavce"/>
    <w:uiPriority w:val="99"/>
    <w:semiHidden/>
    <w:unhideWhenUsed/>
    <w:rsid w:val="0053103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9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B5B"/>
  </w:style>
  <w:style w:type="paragraph" w:styleId="Zpat">
    <w:name w:val="footer"/>
    <w:basedOn w:val="Normln"/>
    <w:link w:val="ZpatChar"/>
    <w:uiPriority w:val="99"/>
    <w:unhideWhenUsed/>
    <w:rsid w:val="00D9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B5B"/>
  </w:style>
  <w:style w:type="character" w:styleId="Siln">
    <w:name w:val="Strong"/>
    <w:basedOn w:val="Standardnpsmoodstavce"/>
    <w:uiPriority w:val="22"/>
    <w:qFormat/>
    <w:rsid w:val="00D92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op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ihlava.cz/assets/File.ashx?id_org=5967&amp;id_dokumenty=5170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pop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Wasserbauerová Michaela</dc:creator>
  <cp:keywords/>
  <dc:description/>
  <cp:lastModifiedBy>Starosta</cp:lastModifiedBy>
  <cp:revision>2</cp:revision>
  <dcterms:created xsi:type="dcterms:W3CDTF">2022-02-03T17:02:00Z</dcterms:created>
  <dcterms:modified xsi:type="dcterms:W3CDTF">2022-02-03T17:02:00Z</dcterms:modified>
</cp:coreProperties>
</file>